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color w:val="000000" w:themeColor="text1"/>
          <w:sz w:val="44"/>
          <w:szCs w:val="44"/>
          <w14:textFill>
            <w14:solidFill>
              <w14:schemeClr w14:val="tx1"/>
            </w14:solidFill>
          </w14:textFill>
        </w:rPr>
      </w:pPr>
      <w:r>
        <w:rPr>
          <w:rFonts w:hint="eastAsia" w:asciiTheme="minorEastAsia" w:hAnsiTheme="minorEastAsia"/>
          <w:b/>
          <w:color w:val="000000" w:themeColor="text1"/>
          <w:sz w:val="44"/>
          <w:szCs w:val="44"/>
          <w14:textFill>
            <w14:solidFill>
              <w14:schemeClr w14:val="tx1"/>
            </w14:solidFill>
          </w14:textFill>
        </w:rPr>
        <w:t>淄博包钢灵芝稀土高科技股份有限公司</w:t>
      </w:r>
    </w:p>
    <w:p>
      <w:pPr>
        <w:jc w:val="center"/>
        <w:rPr>
          <w:rFonts w:asciiTheme="minorEastAsia" w:hAnsiTheme="minorEastAsia"/>
          <w:b/>
          <w:color w:val="000000" w:themeColor="text1"/>
          <w:sz w:val="44"/>
          <w:szCs w:val="44"/>
          <w14:textFill>
            <w14:solidFill>
              <w14:schemeClr w14:val="tx1"/>
            </w14:solidFill>
          </w14:textFill>
        </w:rPr>
      </w:pPr>
      <w:r>
        <w:rPr>
          <w:rFonts w:hint="eastAsia" w:asciiTheme="minorEastAsia" w:hAnsiTheme="minorEastAsia"/>
          <w:b/>
          <w:color w:val="000000" w:themeColor="text1"/>
          <w:sz w:val="44"/>
          <w:szCs w:val="44"/>
          <w14:textFill>
            <w14:solidFill>
              <w14:schemeClr w14:val="tx1"/>
            </w14:solidFill>
          </w14:textFill>
        </w:rPr>
        <w:t>信息公开</w:t>
      </w:r>
    </w:p>
    <w:p>
      <w:pPr>
        <w:numPr>
          <w:ilvl w:val="0"/>
          <w:numId w:val="1"/>
        </w:num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公司基本情况</w:t>
      </w:r>
    </w:p>
    <w:p>
      <w:pPr>
        <w:numPr>
          <w:ilvl w:val="0"/>
          <w:numId w:val="0"/>
        </w:numPr>
        <w:spacing w:line="58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企业名称及简称：淄博包钢灵芝稀土高科技股份有限公司（简称：淄博灵芝）</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法定代表人：</w:t>
      </w:r>
      <w:r>
        <w:rPr>
          <w:rFonts w:hint="eastAsia" w:ascii="仿宋" w:hAnsi="仿宋" w:eastAsia="仿宋"/>
          <w:sz w:val="32"/>
          <w:szCs w:val="32"/>
          <w:lang w:val="en-US" w:eastAsia="zh-CN"/>
        </w:rPr>
        <w:t>赵治华</w:t>
      </w:r>
    </w:p>
    <w:p>
      <w:pPr>
        <w:spacing w:line="580" w:lineRule="exact"/>
        <w:ind w:firstLine="640" w:firstLineChars="200"/>
        <w:rPr>
          <w:rFonts w:ascii="仿宋" w:hAnsi="仿宋" w:eastAsia="仿宋"/>
          <w:sz w:val="32"/>
          <w:szCs w:val="32"/>
        </w:rPr>
      </w:pPr>
      <w:r>
        <w:rPr>
          <w:rFonts w:hint="eastAsia" w:ascii="仿宋" w:hAnsi="仿宋" w:eastAsia="仿宋"/>
          <w:sz w:val="32"/>
          <w:szCs w:val="32"/>
          <w:lang w:val="en-US" w:eastAsia="zh-CN"/>
        </w:rPr>
        <w:t>企业性质：控股</w:t>
      </w:r>
      <w:r>
        <w:rPr>
          <w:rFonts w:hint="eastAsia" w:ascii="仿宋" w:hAnsi="仿宋" w:eastAsia="仿宋"/>
          <w:sz w:val="32"/>
          <w:szCs w:val="32"/>
        </w:rPr>
        <w:t xml:space="preserve">  </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注册地址：临淄区南王镇开发区中心路</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经营范围：有色金属合金制造、销售；有色金属压延加工；磁性材料生产、销售；稀土功能性材料销售等。</w:t>
      </w:r>
    </w:p>
    <w:p>
      <w:pPr>
        <w:spacing w:line="58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办公地址：临淄区王朱村委西300米</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公司网址：</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"http://www.lingzhire.com" </w:instrText>
      </w:r>
      <w:r>
        <w:rPr>
          <w:rFonts w:hint="eastAsia" w:ascii="仿宋" w:hAnsi="仿宋" w:eastAsia="仿宋"/>
          <w:sz w:val="32"/>
          <w:szCs w:val="32"/>
          <w:lang w:val="en-US" w:eastAsia="zh-CN"/>
        </w:rPr>
        <w:fldChar w:fldCharType="separate"/>
      </w:r>
      <w:r>
        <w:rPr>
          <w:rStyle w:val="7"/>
          <w:rFonts w:hint="eastAsia" w:ascii="仿宋" w:hAnsi="仿宋" w:eastAsia="仿宋"/>
          <w:sz w:val="32"/>
          <w:szCs w:val="32"/>
          <w:lang w:val="en-US" w:eastAsia="zh-CN"/>
        </w:rPr>
        <w:t>www.lingzhire.com</w:t>
      </w:r>
      <w:r>
        <w:rPr>
          <w:rFonts w:hint="eastAsia" w:ascii="仿宋" w:hAnsi="仿宋" w:eastAsia="仿宋"/>
          <w:sz w:val="32"/>
          <w:szCs w:val="32"/>
          <w:lang w:val="en-US" w:eastAsia="zh-CN"/>
        </w:rPr>
        <w:fldChar w:fldCharType="end"/>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电子邮箱：</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"mailto:zbbglzrz@sina.com" </w:instrText>
      </w:r>
      <w:r>
        <w:rPr>
          <w:rFonts w:hint="eastAsia" w:ascii="仿宋" w:hAnsi="仿宋" w:eastAsia="仿宋"/>
          <w:sz w:val="32"/>
          <w:szCs w:val="32"/>
          <w:lang w:val="en-US" w:eastAsia="zh-CN"/>
        </w:rPr>
        <w:fldChar w:fldCharType="separate"/>
      </w:r>
      <w:r>
        <w:rPr>
          <w:rStyle w:val="7"/>
          <w:rFonts w:hint="eastAsia" w:ascii="仿宋" w:hAnsi="仿宋" w:eastAsia="仿宋"/>
          <w:sz w:val="32"/>
          <w:szCs w:val="32"/>
          <w:lang w:val="en-US" w:eastAsia="zh-CN"/>
        </w:rPr>
        <w:t>zbbglzrz@sina.com</w:t>
      </w:r>
      <w:r>
        <w:rPr>
          <w:rFonts w:hint="eastAsia" w:ascii="仿宋" w:hAnsi="仿宋" w:eastAsia="仿宋"/>
          <w:sz w:val="32"/>
          <w:szCs w:val="32"/>
          <w:lang w:val="en-US" w:eastAsia="zh-CN"/>
        </w:rPr>
        <w:fldChar w:fldCharType="end"/>
      </w:r>
    </w:p>
    <w:p>
      <w:pPr>
        <w:spacing w:line="58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企业简介：</w:t>
      </w:r>
      <w:r>
        <w:rPr>
          <w:rFonts w:hint="eastAsia" w:ascii="仿宋" w:hAnsi="仿宋" w:eastAsia="仿宋" w:cs="仿宋"/>
          <w:sz w:val="32"/>
          <w:szCs w:val="32"/>
        </w:rPr>
        <w:t>淄博包钢灵芝稀土高科技股份有限公司位于山东省淄博市齐鲁化工园区，成立于1994年，是中国北方稀土（集团）高科技股份有限公司的控股子公司,公司及其全资子公司-淄博灵芝化工有限公司均于2012年通过国家环保部稀土行业环保专项核查，并成为国家工信部首批稀土行业准入企业7家企业中的两家。公司先后通过质量、环境、职业健康、能源管理体系认证，商标“灵芝”于2010年起被持续认定为山东省著名商标。公司信用等级为最高级（AAA),主要稀土分离产品2020年被列入工信部绿色制造名单，公司是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2024年度</w:t>
      </w:r>
      <w:r>
        <w:rPr>
          <w:rFonts w:hint="eastAsia" w:ascii="仿宋" w:hAnsi="仿宋" w:eastAsia="仿宋" w:cs="仿宋"/>
          <w:sz w:val="32"/>
          <w:szCs w:val="32"/>
        </w:rPr>
        <w:t>淄博“双百强企业”，山东省新材料领军企业50强。公司现有3个生产厂区，占地面积350亩，员工千</w:t>
      </w:r>
      <w:r>
        <w:rPr>
          <w:rFonts w:hint="eastAsia" w:ascii="仿宋" w:hAnsi="仿宋" w:eastAsia="仿宋" w:cs="仿宋"/>
          <w:sz w:val="32"/>
          <w:szCs w:val="32"/>
          <w:lang w:eastAsia="zh-CN"/>
        </w:rPr>
        <w:t>余</w:t>
      </w:r>
      <w:r>
        <w:rPr>
          <w:rFonts w:hint="eastAsia" w:ascii="仿宋" w:hAnsi="仿宋" w:eastAsia="仿宋" w:cs="仿宋"/>
          <w:sz w:val="32"/>
          <w:szCs w:val="32"/>
        </w:rPr>
        <w:t>人,拥有从精矿→氯化稀土→萃取分离→沉淀结晶→抛光材料等系稀土生产线。</w:t>
      </w:r>
    </w:p>
    <w:p>
      <w:pPr>
        <w:numPr>
          <w:ilvl w:val="0"/>
          <w:numId w:val="2"/>
        </w:numPr>
        <w:spacing w:line="580" w:lineRule="exact"/>
        <w:ind w:firstLine="640" w:firstLineChars="200"/>
        <w:rPr>
          <w:rFonts w:ascii="仿宋" w:hAnsi="仿宋" w:eastAsia="仿宋"/>
          <w:sz w:val="32"/>
          <w:szCs w:val="32"/>
        </w:rPr>
      </w:pPr>
      <w:r>
        <w:rPr>
          <w:rFonts w:hint="eastAsia" w:ascii="仿宋_GB2312" w:hAnsi="宋体" w:eastAsia="仿宋_GB2312" w:cs="宋体"/>
          <w:b w:val="0"/>
          <w:bCs w:val="0"/>
          <w:color w:val="000000"/>
          <w:spacing w:val="0"/>
          <w:w w:val="100"/>
          <w:position w:val="0"/>
          <w:sz w:val="32"/>
          <w:szCs w:val="32"/>
          <w:highlight w:val="none"/>
          <w:u w:val="none"/>
          <w:shd w:val="clear" w:color="auto" w:fill="auto"/>
          <w:lang w:val="en-US" w:eastAsia="en-US" w:bidi="en-US"/>
        </w:rPr>
        <w:t>公司管理架构</w:t>
      </w:r>
      <w:r>
        <w:rPr>
          <w:rFonts w:hint="eastAsia" w:ascii="仿宋_GB2312" w:hAnsi="宋体" w:eastAsia="仿宋_GB2312" w:cs="宋体"/>
          <w:b w:val="0"/>
          <w:bCs w:val="0"/>
          <w:color w:val="000000"/>
          <w:spacing w:val="0"/>
          <w:w w:val="100"/>
          <w:position w:val="0"/>
          <w:sz w:val="32"/>
          <w:szCs w:val="32"/>
          <w:highlight w:val="none"/>
          <w:u w:val="none"/>
          <w:shd w:val="clear" w:color="auto" w:fill="auto"/>
          <w:lang w:val="en-US" w:eastAsia="zh-CN" w:bidi="en-US"/>
        </w:rPr>
        <w:t>及治理</w:t>
      </w:r>
    </w:p>
    <w:p>
      <w:pPr>
        <w:numPr>
          <w:ilvl w:val="0"/>
          <w:numId w:val="0"/>
        </w:numPr>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ascii="仿宋" w:hAnsi="仿宋" w:eastAsia="仿宋"/>
          <w:sz w:val="32"/>
          <w:szCs w:val="32"/>
        </w:rPr>
        <w:t>管理架构</w:t>
      </w:r>
    </w:p>
    <w:p>
      <w:pPr>
        <w:spacing w:line="460" w:lineRule="exact"/>
        <w:ind w:firstLine="480" w:firstLineChars="150"/>
        <w:rPr>
          <w:rFonts w:ascii="仿宋" w:hAnsi="仿宋" w:eastAsia="仿宋"/>
          <w:sz w:val="32"/>
          <w:szCs w:val="32"/>
        </w:rPr>
      </w:pPr>
      <w:r>
        <w:rPr>
          <w:rFonts w:hint="eastAsia" w:ascii="仿宋" w:hAnsi="仿宋" w:eastAsia="仿宋"/>
          <w:sz w:val="32"/>
          <w:szCs w:val="32"/>
        </w:rPr>
        <w:t>公司现有经营团队成员7人，下设6个职能部门，分别是：综合部、生产部、财务部、审计部、经营部、研发部；公司下设分子公司：冶炼分公司、淄博灵芝化工有限公司。</w:t>
      </w:r>
    </w:p>
    <w:p>
      <w:pPr>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公司治理</w:t>
      </w:r>
    </w:p>
    <w:p>
      <w:pPr>
        <w:spacing w:line="580" w:lineRule="exact"/>
        <w:ind w:firstLine="640" w:firstLineChars="200"/>
        <w:rPr>
          <w:rFonts w:ascii="仿宋" w:hAnsi="仿宋" w:eastAsia="仿宋"/>
          <w:sz w:val="32"/>
          <w:szCs w:val="32"/>
        </w:rPr>
      </w:pPr>
      <w:r>
        <w:rPr>
          <w:rFonts w:hint="eastAsia" w:ascii="仿宋" w:hAnsi="仿宋" w:eastAsia="仿宋"/>
          <w:sz w:val="32"/>
          <w:szCs w:val="32"/>
          <w:lang w:val="en-US" w:eastAsia="zh-CN"/>
        </w:rPr>
        <w:t>一</w:t>
      </w:r>
      <w:r>
        <w:rPr>
          <w:rFonts w:hint="eastAsia" w:ascii="仿宋" w:hAnsi="仿宋" w:eastAsia="仿宋"/>
          <w:sz w:val="32"/>
          <w:szCs w:val="32"/>
        </w:rPr>
        <w:t>季度，公司按照《公司法》等法律法规及公司《章程》的规定，持续优化提升公司治理水平，加强信息披露管理，健全完善内控体系，确保公司规范运作。公司股东大会、党委会、董事会、监事会、经理层</w:t>
      </w:r>
      <w:r>
        <w:rPr>
          <w:rFonts w:hint="eastAsia" w:ascii="仿宋" w:hAnsi="仿宋" w:eastAsia="仿宋"/>
          <w:sz w:val="32"/>
          <w:szCs w:val="32"/>
          <w:lang w:eastAsia="zh-CN"/>
        </w:rPr>
        <w:t>权责</w:t>
      </w:r>
      <w:r>
        <w:rPr>
          <w:rFonts w:hint="eastAsia" w:ascii="仿宋" w:hAnsi="仿宋" w:eastAsia="仿宋"/>
          <w:sz w:val="32"/>
          <w:szCs w:val="32"/>
        </w:rPr>
        <w:t>分明，各司其职，高效运作，科学决策，保证了公司坚持加强党的领导和完善公司治理相统一，将党的领导融入公司治理各环节，不断提升决策质量、执行效率和有效监督。公司董事、监事、高级管理人员诚信务实、勤勉尽责、恪尽职守，发挥自身作用切实维护公司利益和股东合法权益。</w:t>
      </w:r>
    </w:p>
    <w:p>
      <w:pPr>
        <w:spacing w:line="54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1.股东与股东大会：公司根据《公司法》、公司《章程》和《股东大会议事规则》等规定，依法依规召集、</w:t>
      </w:r>
      <w:r>
        <w:rPr>
          <w:rFonts w:hint="eastAsia" w:ascii="仿宋" w:hAnsi="仿宋" w:eastAsia="仿宋"/>
          <w:color w:val="000000" w:themeColor="text1"/>
          <w:sz w:val="32"/>
          <w:szCs w:val="32"/>
          <w14:textFill>
            <w14:solidFill>
              <w14:schemeClr w14:val="tx1"/>
            </w14:solidFill>
          </w14:textFill>
        </w:rPr>
        <w:t>召开股东大会，并由律师做现场见证，平等对待所有股东，特别是中小股东，以现场结合网络投票方式为股东参加股东大会提供便利，切实维护股东合法权益。公司保持独立的业务及自主经营能力，控股股东通过股东大会行使出资人权利；公司与控股股东在人员、资产、财务、机构、业务上做到了分开与独立，独立核算、独立承担责任和风险；公司发展得到了控股股东的大力支持。</w:t>
      </w:r>
    </w:p>
    <w:p>
      <w:pPr>
        <w:spacing w:line="58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党委与党委会：公司设党委书记1名，设兼职党委副书记1人；设党委委员若干名；设有专门党务工作机构，配备兼职党务工作人员。报告期内，公司党委参与公司重大决策，涉及公司“三重一大”等重大事项，经党委会研究讨论提出意见和建议后，由董事会、经理层作出决定，将党委研究讨论作为董事会、经理层决策重大问题的前置程序。进入董事会、监事会、经理层的党委成员通过多种方式在决策中体现党委的主张。</w:t>
      </w: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董事与董事会：公司董事会由5名董事组成，董事会人数及构成符合法律法规的要求，具备合理的专业结构，董事具备履行职务所必需的知识技能和综合素质，按照法律法规恪尽职守、勤勉尽责，参加业务培训，审慎决策。董事会下设的战略、审计、提名、薪酬与考核四个专门委员会发挥自身作用，提升董事会决策效率和决策科学性，履行董事会定战略、作决策、防风险职责。</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监事与监事会：公司监事会由3名监事组成，其中，股东代表监事1名，职工代表监事1名。监事会全体成员恪尽职守、勤勉尽责，参加董事会、监事会和股东大会会议，全面深入了解公司生产经营情况，认真审查公司财务资料、定期报告等事项，对定期报告发表书面审核意见并签署确认意见；监督完善内控体系，加强风险防控；发表监督检查意见并向股东大会报告工作，维护公司及股东利益。</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5.总经理与经理</w:t>
      </w:r>
      <w:r>
        <w:rPr>
          <w:rFonts w:ascii="仿宋" w:hAnsi="仿宋" w:eastAsia="仿宋"/>
          <w:sz w:val="32"/>
          <w:szCs w:val="32"/>
        </w:rPr>
        <w:t>层：公司设总经理1名，总经理带领经</w:t>
      </w:r>
      <w:r>
        <w:rPr>
          <w:rFonts w:ascii="仿宋" w:hAnsi="仿宋" w:eastAsia="仿宋"/>
          <w:color w:val="000000" w:themeColor="text1"/>
          <w:sz w:val="32"/>
          <w:szCs w:val="32"/>
          <w14:textFill>
            <w14:solidFill>
              <w14:schemeClr w14:val="tx1"/>
            </w14:solidFill>
          </w14:textFill>
        </w:rPr>
        <w:t>理层按照公司《章程》《高级管理人员工作规则》等规定开展日常工作，执行董事会决议，定期向董事会报告决议执行情况，</w:t>
      </w:r>
      <w:r>
        <w:rPr>
          <w:rFonts w:hint="eastAsia" w:ascii="仿宋" w:hAnsi="仿宋" w:eastAsia="仿宋"/>
          <w:color w:val="000000" w:themeColor="text1"/>
          <w:sz w:val="32"/>
          <w:szCs w:val="32"/>
          <w14:textFill>
            <w14:solidFill>
              <w14:schemeClr w14:val="tx1"/>
            </w14:solidFill>
          </w14:textFill>
        </w:rPr>
        <w:t>恪尽职守</w:t>
      </w:r>
      <w:r>
        <w:rPr>
          <w:rFonts w:ascii="仿宋" w:hAnsi="仿宋" w:eastAsia="仿宋"/>
          <w:color w:val="000000" w:themeColor="text1"/>
          <w:sz w:val="32"/>
          <w:szCs w:val="32"/>
          <w14:textFill>
            <w14:solidFill>
              <w14:schemeClr w14:val="tx1"/>
            </w14:solidFill>
          </w14:textFill>
        </w:rPr>
        <w:t>、勤勉尽责。报告期内，公司</w:t>
      </w:r>
      <w:r>
        <w:rPr>
          <w:rFonts w:hint="eastAsia" w:ascii="仿宋" w:hAnsi="仿宋" w:eastAsia="仿宋"/>
          <w:color w:val="000000" w:themeColor="text1"/>
          <w:sz w:val="32"/>
          <w:szCs w:val="32"/>
          <w14:textFill>
            <w14:solidFill>
              <w14:schemeClr w14:val="tx1"/>
            </w14:solidFill>
          </w14:textFill>
        </w:rPr>
        <w:t>定期</w:t>
      </w:r>
      <w:r>
        <w:rPr>
          <w:rFonts w:ascii="仿宋" w:hAnsi="仿宋" w:eastAsia="仿宋"/>
          <w:color w:val="000000" w:themeColor="text1"/>
          <w:sz w:val="32"/>
          <w:szCs w:val="32"/>
          <w14:textFill>
            <w14:solidFill>
              <w14:schemeClr w14:val="tx1"/>
            </w14:solidFill>
          </w14:textFill>
        </w:rPr>
        <w:t>召开总经理办公会</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充分发挥了经理层</w:t>
      </w:r>
      <w:r>
        <w:rPr>
          <w:rFonts w:hint="eastAsia" w:ascii="仿宋" w:hAnsi="仿宋" w:eastAsia="仿宋"/>
          <w:color w:val="000000" w:themeColor="text1"/>
          <w:sz w:val="32"/>
          <w:szCs w:val="32"/>
          <w14:textFill>
            <w14:solidFill>
              <w14:schemeClr w14:val="tx1"/>
            </w14:solidFill>
          </w14:textFill>
        </w:rPr>
        <w:t>谋经营、抓落实、强管理</w:t>
      </w:r>
      <w:r>
        <w:rPr>
          <w:rFonts w:ascii="仿宋" w:hAnsi="仿宋" w:eastAsia="仿宋"/>
          <w:color w:val="000000" w:themeColor="text1"/>
          <w:sz w:val="32"/>
          <w:szCs w:val="32"/>
          <w14:textFill>
            <w14:solidFill>
              <w14:schemeClr w14:val="tx1"/>
            </w14:solidFill>
          </w14:textFill>
        </w:rPr>
        <w:t>职能作用。</w:t>
      </w:r>
    </w:p>
    <w:p>
      <w:pPr>
        <w:spacing w:line="580" w:lineRule="exact"/>
        <w:ind w:firstLine="640" w:firstLineChars="200"/>
        <w:rPr>
          <w:rFonts w:hint="eastAsia" w:ascii="仿宋" w:hAnsi="仿宋" w:eastAsia="仿宋"/>
          <w:color w:val="000000" w:themeColor="text1"/>
          <w:sz w:val="32"/>
          <w:szCs w:val="32"/>
          <w14:textFill>
            <w14:solidFill>
              <w14:schemeClr w14:val="tx1"/>
            </w14:solidFill>
          </w14:textFill>
        </w:rPr>
      </w:pPr>
      <w:bookmarkStart w:id="0" w:name="_Hlk97224100"/>
      <w:r>
        <w:rPr>
          <w:rFonts w:ascii="仿宋" w:hAnsi="仿宋" w:eastAsia="仿宋"/>
          <w:color w:val="000000" w:themeColor="text1"/>
          <w:sz w:val="32"/>
          <w:szCs w:val="32"/>
          <w14:textFill>
            <w14:solidFill>
              <w14:schemeClr w14:val="tx1"/>
            </w14:solidFill>
          </w14:textFill>
        </w:rPr>
        <w:t>6.内部控制体系建设：</w:t>
      </w:r>
      <w:bookmarkEnd w:id="0"/>
      <w:r>
        <w:rPr>
          <w:rFonts w:hint="eastAsia" w:ascii="仿宋" w:hAnsi="仿宋" w:eastAsia="仿宋"/>
          <w:color w:val="000000" w:themeColor="text1"/>
          <w:sz w:val="32"/>
          <w:szCs w:val="32"/>
          <w14:textFill>
            <w14:solidFill>
              <w14:schemeClr w14:val="tx1"/>
            </w14:solidFill>
          </w14:textFill>
        </w:rPr>
        <w:t>按照公司规章和内部控制手册等规定，不断健全完善公司内控体系，优化体系设计的合理性，增强体系执行的有效性。</w:t>
      </w:r>
    </w:p>
    <w:p>
      <w:pPr>
        <w:spacing w:line="58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三、职工权益维护</w:t>
      </w:r>
    </w:p>
    <w:p>
      <w:pPr>
        <w:spacing w:line="58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Style w:val="12"/>
          <w:rFonts w:hint="eastAsia" w:ascii="仿宋_GB2312" w:hAnsi="新宋体" w:eastAsia="仿宋_GB2312"/>
          <w:color w:val="000000"/>
          <w:sz w:val="32"/>
          <w:szCs w:val="32"/>
          <w:lang w:val="en-US" w:eastAsia="zh-CN"/>
        </w:rPr>
        <w:t>坚持贯彻按劳分配绩效考核机制，及时足额为职工发放工资、缴纳五险一金。</w:t>
      </w:r>
      <w:r>
        <w:rPr>
          <w:rFonts w:hint="eastAsia" w:ascii="仿宋" w:hAnsi="仿宋" w:eastAsia="仿宋"/>
          <w:color w:val="000000" w:themeColor="text1"/>
          <w:sz w:val="32"/>
          <w:szCs w:val="32"/>
          <w:lang w:val="en-US" w:eastAsia="zh-CN"/>
          <w14:textFill>
            <w14:solidFill>
              <w14:schemeClr w14:val="tx1"/>
            </w14:solidFill>
          </w14:textFill>
        </w:rPr>
        <w:t>2023年度新入职103人，2024年一季度新入职5人，全部签订劳动合同，实现劳动合同签订率100%。在劳动、安全、卫生保障方面</w:t>
      </w:r>
      <w:r>
        <w:rPr>
          <w:rStyle w:val="12"/>
          <w:rFonts w:hint="eastAsia" w:ascii="仿宋_GB2312" w:hAnsi="新宋体" w:eastAsia="仿宋_GB2312"/>
          <w:color w:val="000000"/>
          <w:sz w:val="32"/>
          <w:szCs w:val="32"/>
          <w:lang w:val="en-US" w:eastAsia="zh-CN"/>
        </w:rPr>
        <w:t>严格按照规定为职工提供劳动防护用品，定期进行健康查体。</w:t>
      </w:r>
    </w:p>
    <w:p>
      <w:pPr>
        <w:spacing w:line="540" w:lineRule="exact"/>
        <w:ind w:firstLine="640"/>
        <w:rPr>
          <w:rFonts w:hint="eastAsia" w:ascii="仿宋" w:hAnsi="仿宋" w:eastAsia="仿宋"/>
          <w:sz w:val="32"/>
          <w:szCs w:val="32"/>
        </w:rPr>
      </w:pPr>
    </w:p>
    <w:p>
      <w:pPr>
        <w:spacing w:line="540" w:lineRule="exact"/>
        <w:ind w:firstLine="640"/>
        <w:rPr>
          <w:rFonts w:hint="eastAsia" w:ascii="仿宋" w:hAnsi="仿宋" w:eastAsia="仿宋"/>
          <w:sz w:val="32"/>
          <w:szCs w:val="32"/>
        </w:rPr>
      </w:pPr>
    </w:p>
    <w:p>
      <w:pPr>
        <w:spacing w:line="540" w:lineRule="exact"/>
        <w:ind w:firstLine="640"/>
        <w:rPr>
          <w:rFonts w:hint="eastAsia" w:ascii="仿宋" w:hAnsi="仿宋" w:eastAsia="仿宋"/>
          <w:sz w:val="32"/>
          <w:szCs w:val="32"/>
        </w:rPr>
      </w:pPr>
      <w:bookmarkStart w:id="1" w:name="_GoBack"/>
      <w:bookmarkEnd w:id="1"/>
    </w:p>
    <w:p>
      <w:pPr>
        <w:spacing w:line="540" w:lineRule="exact"/>
        <w:ind w:firstLine="640"/>
        <w:rPr>
          <w:rFonts w:hint="eastAsia" w:ascii="仿宋" w:hAnsi="仿宋" w:eastAsia="仿宋"/>
          <w:sz w:val="32"/>
          <w:szCs w:val="32"/>
        </w:rPr>
      </w:pPr>
    </w:p>
    <w:p>
      <w:pPr>
        <w:spacing w:line="540" w:lineRule="exact"/>
        <w:ind w:firstLine="640"/>
        <w:rPr>
          <w:rFonts w:hint="eastAsia" w:ascii="仿宋" w:hAnsi="仿宋" w:eastAsia="仿宋"/>
          <w:sz w:val="32"/>
          <w:szCs w:val="32"/>
        </w:rPr>
      </w:pPr>
    </w:p>
    <w:p>
      <w:pPr>
        <w:spacing w:line="540" w:lineRule="exact"/>
        <w:ind w:firstLine="640"/>
        <w:rPr>
          <w:rFonts w:ascii="仿宋" w:hAnsi="仿宋" w:eastAsia="仿宋"/>
          <w:sz w:val="32"/>
          <w:szCs w:val="32"/>
        </w:rPr>
      </w:pPr>
      <w:r>
        <w:rPr>
          <w:rFonts w:hint="eastAsia" w:ascii="仿宋" w:hAnsi="仿宋" w:eastAsia="仿宋"/>
          <w:sz w:val="32"/>
          <w:szCs w:val="32"/>
        </w:rPr>
        <w:t xml:space="preserve">                           二〇二</w:t>
      </w:r>
      <w:r>
        <w:rPr>
          <w:rFonts w:hint="eastAsia" w:ascii="仿宋" w:hAnsi="仿宋" w:eastAsia="仿宋"/>
          <w:sz w:val="32"/>
          <w:szCs w:val="32"/>
          <w:lang w:val="en-US" w:eastAsia="zh-CN"/>
        </w:rPr>
        <w:t>四</w:t>
      </w:r>
      <w:r>
        <w:rPr>
          <w:rFonts w:hint="eastAsia" w:ascii="仿宋" w:hAnsi="仿宋" w:eastAsia="仿宋"/>
          <w:sz w:val="32"/>
          <w:szCs w:val="32"/>
        </w:rPr>
        <w:t>年</w:t>
      </w:r>
      <w:r>
        <w:rPr>
          <w:rFonts w:hint="eastAsia" w:ascii="仿宋" w:hAnsi="仿宋" w:eastAsia="仿宋"/>
          <w:sz w:val="32"/>
          <w:szCs w:val="32"/>
          <w:lang w:val="en-US" w:eastAsia="zh-CN"/>
        </w:rPr>
        <w:t>五</w:t>
      </w:r>
      <w:r>
        <w:rPr>
          <w:rFonts w:hint="eastAsia" w:ascii="仿宋" w:hAnsi="仿宋" w:eastAsia="仿宋"/>
          <w:sz w:val="32"/>
          <w:szCs w:val="32"/>
        </w:rPr>
        <w:t>月十</w:t>
      </w:r>
      <w:r>
        <w:rPr>
          <w:rFonts w:hint="eastAsia" w:ascii="仿宋" w:hAnsi="仿宋" w:eastAsia="仿宋"/>
          <w:sz w:val="32"/>
          <w:szCs w:val="32"/>
          <w:lang w:val="en-US" w:eastAsia="zh-CN"/>
        </w:rPr>
        <w:t>五</w:t>
      </w:r>
      <w:r>
        <w:rPr>
          <w:rFonts w:hint="eastAsia" w:ascii="仿宋" w:hAnsi="仿宋" w:eastAsia="仿宋"/>
          <w:sz w:val="32"/>
          <w:szCs w:val="32"/>
        </w:rPr>
        <w:t>日</w:t>
      </w:r>
    </w:p>
    <w:sectPr>
      <w:footerReference r:id="rId3" w:type="default"/>
      <w:pgSz w:w="11906" w:h="16838"/>
      <w:pgMar w:top="1701" w:right="1474"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902795"/>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5B317"/>
    <w:multiLevelType w:val="singleLevel"/>
    <w:tmpl w:val="8505B317"/>
    <w:lvl w:ilvl="0" w:tentative="0">
      <w:start w:val="1"/>
      <w:numFmt w:val="chineseCounting"/>
      <w:suff w:val="nothing"/>
      <w:lvlText w:val="%1、"/>
      <w:lvlJc w:val="left"/>
      <w:rPr>
        <w:rFonts w:hint="eastAsia"/>
      </w:rPr>
    </w:lvl>
  </w:abstractNum>
  <w:abstractNum w:abstractNumId="1">
    <w:nsid w:val="75B371A7"/>
    <w:multiLevelType w:val="singleLevel"/>
    <w:tmpl w:val="75B371A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Y2Q3Njk2MzRiNzc2YmM1YWNhZjEyZDA4N2FiYTkifQ=="/>
  </w:docVars>
  <w:rsids>
    <w:rsidRoot w:val="009B073D"/>
    <w:rsid w:val="0002105F"/>
    <w:rsid w:val="00046F54"/>
    <w:rsid w:val="00085992"/>
    <w:rsid w:val="000A0288"/>
    <w:rsid w:val="000B197F"/>
    <w:rsid w:val="000B725A"/>
    <w:rsid w:val="001242A6"/>
    <w:rsid w:val="0018685F"/>
    <w:rsid w:val="001932EB"/>
    <w:rsid w:val="001A79D5"/>
    <w:rsid w:val="001F1C7A"/>
    <w:rsid w:val="0020476B"/>
    <w:rsid w:val="00257F41"/>
    <w:rsid w:val="002A2E37"/>
    <w:rsid w:val="002C5544"/>
    <w:rsid w:val="002D6A94"/>
    <w:rsid w:val="002F0C93"/>
    <w:rsid w:val="003572AD"/>
    <w:rsid w:val="003947F6"/>
    <w:rsid w:val="003A28A9"/>
    <w:rsid w:val="004043A8"/>
    <w:rsid w:val="004474D8"/>
    <w:rsid w:val="00470EEC"/>
    <w:rsid w:val="004760E6"/>
    <w:rsid w:val="004A116D"/>
    <w:rsid w:val="004B7DD4"/>
    <w:rsid w:val="005149EA"/>
    <w:rsid w:val="00534419"/>
    <w:rsid w:val="00581FA6"/>
    <w:rsid w:val="00595469"/>
    <w:rsid w:val="005A680E"/>
    <w:rsid w:val="005E7DBA"/>
    <w:rsid w:val="00655E22"/>
    <w:rsid w:val="006A2F74"/>
    <w:rsid w:val="006B25D4"/>
    <w:rsid w:val="006D2844"/>
    <w:rsid w:val="006E096D"/>
    <w:rsid w:val="00731F1F"/>
    <w:rsid w:val="00755353"/>
    <w:rsid w:val="007565BD"/>
    <w:rsid w:val="00762834"/>
    <w:rsid w:val="0077465E"/>
    <w:rsid w:val="007B15B6"/>
    <w:rsid w:val="007D5605"/>
    <w:rsid w:val="00812819"/>
    <w:rsid w:val="00835E95"/>
    <w:rsid w:val="00836F4A"/>
    <w:rsid w:val="00850183"/>
    <w:rsid w:val="00872815"/>
    <w:rsid w:val="00872B13"/>
    <w:rsid w:val="00881784"/>
    <w:rsid w:val="008F0C8C"/>
    <w:rsid w:val="00924CC5"/>
    <w:rsid w:val="00964D40"/>
    <w:rsid w:val="009B073D"/>
    <w:rsid w:val="00A004BE"/>
    <w:rsid w:val="00A019DE"/>
    <w:rsid w:val="00A16734"/>
    <w:rsid w:val="00A308F1"/>
    <w:rsid w:val="00A6185E"/>
    <w:rsid w:val="00A87C3D"/>
    <w:rsid w:val="00AB3FB4"/>
    <w:rsid w:val="00B11169"/>
    <w:rsid w:val="00B4133C"/>
    <w:rsid w:val="00B4700D"/>
    <w:rsid w:val="00B962A3"/>
    <w:rsid w:val="00BA3B79"/>
    <w:rsid w:val="00C5101F"/>
    <w:rsid w:val="00CA384B"/>
    <w:rsid w:val="00CD667E"/>
    <w:rsid w:val="00D35621"/>
    <w:rsid w:val="00DB3873"/>
    <w:rsid w:val="00DC5299"/>
    <w:rsid w:val="00E038CD"/>
    <w:rsid w:val="00E1024E"/>
    <w:rsid w:val="00E169D6"/>
    <w:rsid w:val="00E40430"/>
    <w:rsid w:val="00E66050"/>
    <w:rsid w:val="00E93379"/>
    <w:rsid w:val="00ED16F6"/>
    <w:rsid w:val="00ED4316"/>
    <w:rsid w:val="00F12261"/>
    <w:rsid w:val="00F144F6"/>
    <w:rsid w:val="00F237C2"/>
    <w:rsid w:val="00FB4B25"/>
    <w:rsid w:val="00FE135E"/>
    <w:rsid w:val="0AEB694D"/>
    <w:rsid w:val="0EDF3027"/>
    <w:rsid w:val="32F46FAF"/>
    <w:rsid w:val="3CC07308"/>
    <w:rsid w:val="40695F7F"/>
    <w:rsid w:val="4714323A"/>
    <w:rsid w:val="71EF1589"/>
    <w:rsid w:val="72A5093A"/>
    <w:rsid w:val="79B56AF7"/>
    <w:rsid w:val="7E677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批注框文本 Char"/>
    <w:basedOn w:val="6"/>
    <w:link w:val="2"/>
    <w:semiHidden/>
    <w:qFormat/>
    <w:uiPriority w:val="99"/>
    <w:rPr>
      <w:kern w:val="2"/>
      <w:sz w:val="18"/>
      <w:szCs w:val="18"/>
    </w:rPr>
  </w:style>
  <w:style w:type="character" w:customStyle="1" w:styleId="12">
    <w:name w:val="content1"/>
    <w:basedOn w:val="6"/>
    <w:qFormat/>
    <w:uiPriority w:val="0"/>
    <w:rPr>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1862</Words>
  <Characters>1937</Characters>
  <Lines>11</Lines>
  <Paragraphs>3</Paragraphs>
  <TotalTime>5</TotalTime>
  <ScaleCrop>false</ScaleCrop>
  <LinksUpToDate>false</LinksUpToDate>
  <CharactersWithSpaces>1969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2022-05-23T01:39:00Z</dcterms:created>
  <dc:creator>Administrator</dc:creator>
  <cp:lastModifiedBy>云朵</cp:lastModifiedBy>
  <cp:lastPrinted>2022-06-30T02:55:00Z</cp:lastPrinted>
  <dcterms:modified xsi:type="dcterms:W3CDTF">2024-05-15T02:53:44Z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E5A41DF316C5435FBC5CFA03C8C81B82_13</vt:lpwstr>
  </property>
</Properties>
</file>